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eastAsia="Calibri" w:cs="Times New Roman" w:ascii="Times New Roman" w:hAnsi="Times New Roman"/>
          <w:b/>
          <w:color w:val="00B0F0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 w:ascii="Times New Roman" w:hAnsi="Times New Roman"/>
          <w:b/>
          <w:color w:val="00B0F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декабря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>10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6</w:t>
      </w:r>
      <w:r>
        <w:rPr>
          <w:rFonts w:cs="Times New Roman" w:ascii="Times New Roman" w:hAnsi="Times New Roman"/>
          <w:sz w:val="28"/>
          <w:szCs w:val="28"/>
        </w:rPr>
        <w:t>70</w:t>
      </w:r>
      <w:r>
        <w:rPr>
          <w:rFonts w:cs="Times New Roman" w:ascii="Times New Roman" w:hAnsi="Times New Roman"/>
          <w:sz w:val="28"/>
          <w:szCs w:val="28"/>
        </w:rPr>
        <w:t>,9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13 рекламно-информационных материалов, в том числе в информационно-телекоммуникационной сети «Интернет» и в СМИ опубликовано 7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LibreOffice/6.4.4.2$Linux_X86_64 LibreOffice_project/40$Build-2</Application>
  <Pages>1</Pages>
  <Words>176</Words>
  <Characters>1306</Characters>
  <CharactersWithSpaces>1475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2021-12-15T09:13:30Z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